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8B" w:rsidRDefault="0067208B" w:rsidP="0067208B">
      <w:pPr>
        <w:pStyle w:val="Bezproreda1"/>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Na temelju članka 95. Zakona o komunalnom gospodarstvu („Narodne novine“ broj 68/18, 110/18 i 32/20), članka 35. Zakona o lokalnoj i područnoj (regionalnoj) samoupravi („Narodne novine“ broj 33/01, 60/01, 129/05, 109/07, 125/08, 36/09, 150/11, 144/12, 19/13, 137/15, 123/17,  98/19 i 144/20)  i članka 41. Statuta Grada Paga („Službeni glasnik Grada Paga“ broj 5/21), Gradonačelnik Grada Paga, Gradskom vijeću Grada Paga, podnosi</w:t>
      </w:r>
    </w:p>
    <w:p w:rsidR="0067208B" w:rsidRDefault="0067208B" w:rsidP="0067208B">
      <w:pPr>
        <w:pStyle w:val="Bezproreda1"/>
        <w:rPr>
          <w:rFonts w:ascii="Times New Roman" w:hAnsi="Times New Roman" w:cs="Times New Roman"/>
          <w:bCs/>
          <w:sz w:val="24"/>
          <w:szCs w:val="24"/>
        </w:rPr>
      </w:pPr>
    </w:p>
    <w:p w:rsidR="0067208B" w:rsidRDefault="0067208B" w:rsidP="0067208B">
      <w:pPr>
        <w:pStyle w:val="Bezproreda1"/>
        <w:rPr>
          <w:rFonts w:ascii="Times New Roman" w:hAnsi="Times New Roman" w:cs="Times New Roman"/>
          <w:bCs/>
          <w:sz w:val="24"/>
          <w:szCs w:val="24"/>
        </w:rPr>
      </w:pPr>
    </w:p>
    <w:p w:rsidR="0067208B" w:rsidRDefault="0067208B" w:rsidP="0067208B">
      <w:pPr>
        <w:pStyle w:val="Bezproreda1"/>
        <w:jc w:val="center"/>
        <w:rPr>
          <w:rFonts w:ascii="Times New Roman" w:hAnsi="Times New Roman" w:cs="Times New Roman"/>
          <w:b/>
          <w:sz w:val="24"/>
          <w:szCs w:val="24"/>
        </w:rPr>
      </w:pPr>
      <w:r>
        <w:rPr>
          <w:rFonts w:ascii="Times New Roman" w:hAnsi="Times New Roman" w:cs="Times New Roman"/>
          <w:b/>
          <w:bCs/>
          <w:sz w:val="24"/>
          <w:szCs w:val="24"/>
        </w:rPr>
        <w:t>PRIJEDLOG ODLUKE O IZMJENI ODLUKE</w:t>
      </w:r>
    </w:p>
    <w:p w:rsidR="0067208B" w:rsidRDefault="0067208B" w:rsidP="0067208B">
      <w:pPr>
        <w:pStyle w:val="Bezproreda1"/>
        <w:jc w:val="center"/>
        <w:rPr>
          <w:rFonts w:ascii="Times New Roman" w:hAnsi="Times New Roman" w:cs="Times New Roman"/>
          <w:b/>
          <w:sz w:val="24"/>
          <w:szCs w:val="24"/>
        </w:rPr>
      </w:pPr>
      <w:r>
        <w:rPr>
          <w:rFonts w:ascii="Times New Roman" w:hAnsi="Times New Roman" w:cs="Times New Roman"/>
          <w:b/>
          <w:bCs/>
          <w:sz w:val="24"/>
          <w:szCs w:val="24"/>
        </w:rPr>
        <w:t>o komunalnoj naknadi</w:t>
      </w:r>
    </w:p>
    <w:p w:rsidR="0067208B" w:rsidRDefault="0067208B" w:rsidP="0067208B">
      <w:pPr>
        <w:pStyle w:val="Bezproreda1"/>
        <w:rPr>
          <w:rFonts w:ascii="Open Sans" w:hAnsi="Open Sans"/>
          <w:b/>
          <w:color w:val="414145"/>
          <w:sz w:val="19"/>
          <w:szCs w:val="19"/>
          <w:shd w:val="clear" w:color="auto" w:fill="E4E4E7"/>
        </w:rPr>
      </w:pPr>
    </w:p>
    <w:p w:rsidR="0067208B" w:rsidRDefault="0067208B" w:rsidP="0067208B">
      <w:pPr>
        <w:pStyle w:val="Bezproreda1"/>
        <w:rPr>
          <w:rFonts w:ascii="Open Sans" w:hAnsi="Open Sans"/>
          <w:color w:val="414145"/>
          <w:sz w:val="19"/>
          <w:szCs w:val="19"/>
          <w:shd w:val="clear" w:color="auto" w:fill="E4E4E7"/>
        </w:rPr>
      </w:pPr>
    </w:p>
    <w:p w:rsidR="0067208B" w:rsidRDefault="0067208B" w:rsidP="0067208B">
      <w:pPr>
        <w:pStyle w:val="Bezproreda1"/>
        <w:jc w:val="center"/>
        <w:rPr>
          <w:rFonts w:ascii="Times New Roman" w:hAnsi="Times New Roman" w:cs="Times New Roman"/>
          <w:b/>
          <w:sz w:val="24"/>
          <w:szCs w:val="24"/>
        </w:rPr>
      </w:pPr>
      <w:r>
        <w:rPr>
          <w:rFonts w:ascii="Times New Roman" w:hAnsi="Times New Roman" w:cs="Times New Roman"/>
          <w:b/>
          <w:sz w:val="24"/>
          <w:szCs w:val="24"/>
        </w:rPr>
        <w:t>Članak 1.</w:t>
      </w:r>
    </w:p>
    <w:p w:rsidR="0067208B" w:rsidRDefault="0067208B" w:rsidP="0067208B">
      <w:pPr>
        <w:pStyle w:val="Bezproreda1"/>
        <w:ind w:firstLine="360"/>
        <w:jc w:val="both"/>
        <w:rPr>
          <w:rFonts w:ascii="Times New Roman" w:hAnsi="Times New Roman" w:cs="Times New Roman"/>
          <w:sz w:val="24"/>
          <w:szCs w:val="24"/>
        </w:rPr>
      </w:pPr>
      <w:r>
        <w:rPr>
          <w:rFonts w:ascii="Times New Roman" w:hAnsi="Times New Roman" w:cs="Times New Roman"/>
          <w:sz w:val="24"/>
          <w:szCs w:val="24"/>
        </w:rPr>
        <w:t xml:space="preserve">Ovom Odlukom mijenja se Odluka o komunalnoj naknadi („Službeni glasnik Grada Paga“ broj 1/19 i 13/19). </w:t>
      </w:r>
    </w:p>
    <w:p w:rsidR="0067208B" w:rsidRDefault="0067208B" w:rsidP="0067208B">
      <w:pPr>
        <w:rPr>
          <w:bCs/>
          <w:sz w:val="24"/>
          <w:szCs w:val="24"/>
        </w:rPr>
      </w:pPr>
    </w:p>
    <w:p w:rsidR="0067208B" w:rsidRDefault="0067208B" w:rsidP="0067208B">
      <w:pPr>
        <w:pStyle w:val="Bezproreda1"/>
        <w:jc w:val="center"/>
        <w:rPr>
          <w:rFonts w:ascii="Times New Roman" w:hAnsi="Times New Roman" w:cs="Times New Roman"/>
          <w:b/>
          <w:sz w:val="24"/>
          <w:szCs w:val="24"/>
        </w:rPr>
      </w:pPr>
      <w:r>
        <w:rPr>
          <w:rFonts w:ascii="Times New Roman" w:hAnsi="Times New Roman" w:cs="Times New Roman"/>
          <w:b/>
          <w:sz w:val="24"/>
          <w:szCs w:val="24"/>
        </w:rPr>
        <w:t>Članak 2.</w:t>
      </w:r>
    </w:p>
    <w:p w:rsidR="0067208B" w:rsidRDefault="0067208B" w:rsidP="0067208B">
      <w:pPr>
        <w:pStyle w:val="Bezproreda1"/>
        <w:jc w:val="both"/>
        <w:rPr>
          <w:rFonts w:ascii="Times New Roman" w:hAnsi="Times New Roman" w:cs="Times New Roman"/>
          <w:sz w:val="24"/>
          <w:szCs w:val="24"/>
        </w:rPr>
      </w:pPr>
      <w:r>
        <w:rPr>
          <w:rFonts w:ascii="Times New Roman" w:hAnsi="Times New Roman" w:cs="Times New Roman"/>
          <w:sz w:val="24"/>
          <w:szCs w:val="24"/>
        </w:rPr>
        <w:t xml:space="preserve">       Članak 11.  Odluke o komunalnoj naknadi mijenja se i glasi:</w:t>
      </w:r>
    </w:p>
    <w:p w:rsidR="0067208B" w:rsidRDefault="0067208B" w:rsidP="0067208B">
      <w:pPr>
        <w:pStyle w:val="Bezproreda1"/>
        <w:jc w:val="both"/>
        <w:rPr>
          <w:rFonts w:ascii="Times New Roman" w:hAnsi="Times New Roman" w:cs="Times New Roman"/>
          <w:sz w:val="24"/>
          <w:szCs w:val="24"/>
        </w:rPr>
      </w:pPr>
    </w:p>
    <w:p w:rsidR="0067208B" w:rsidRDefault="0067208B" w:rsidP="0067208B">
      <w:pPr>
        <w:pStyle w:val="Bezproreda1"/>
        <w:jc w:val="center"/>
        <w:rPr>
          <w:rFonts w:ascii="Times New Roman" w:hAnsi="Times New Roman" w:cs="Times New Roman"/>
          <w:sz w:val="24"/>
          <w:szCs w:val="24"/>
        </w:rPr>
      </w:pPr>
      <w:r>
        <w:rPr>
          <w:rFonts w:ascii="Times New Roman" w:hAnsi="Times New Roman" w:cs="Times New Roman"/>
          <w:sz w:val="24"/>
          <w:szCs w:val="24"/>
        </w:rPr>
        <w:t>Članak 11.</w:t>
      </w:r>
    </w:p>
    <w:p w:rsidR="0067208B" w:rsidRDefault="0067208B" w:rsidP="0067208B">
      <w:pPr>
        <w:pStyle w:val="Bezproreda1"/>
        <w:jc w:val="center"/>
        <w:rPr>
          <w:rFonts w:ascii="Times New Roman" w:hAnsi="Times New Roman" w:cs="Times New Roman"/>
          <w:sz w:val="24"/>
          <w:szCs w:val="24"/>
        </w:rPr>
      </w:pPr>
    </w:p>
    <w:p w:rsidR="0067208B" w:rsidRDefault="0067208B" w:rsidP="0067208B">
      <w:pPr>
        <w:pStyle w:val="Bezproreda1"/>
        <w:ind w:left="360"/>
        <w:rPr>
          <w:rFonts w:ascii="Times New Roman" w:hAnsi="Times New Roman" w:cs="Times New Roman"/>
          <w:sz w:val="24"/>
          <w:szCs w:val="24"/>
        </w:rPr>
      </w:pPr>
      <w:r>
        <w:rPr>
          <w:rFonts w:ascii="Times New Roman" w:hAnsi="Times New Roman" w:cs="Times New Roman"/>
          <w:sz w:val="24"/>
          <w:szCs w:val="24"/>
        </w:rPr>
        <w:t xml:space="preserve">      Utvrđuju se mjerila (vrste prostora odnosno djelatnosti), zone, koeficijenti zona (</w:t>
      </w:r>
      <w:proofErr w:type="spellStart"/>
      <w:r>
        <w:rPr>
          <w:rFonts w:ascii="Times New Roman" w:hAnsi="Times New Roman" w:cs="Times New Roman"/>
          <w:sz w:val="24"/>
          <w:szCs w:val="24"/>
        </w:rPr>
        <w:t>Kz</w:t>
      </w:r>
      <w:proofErr w:type="spellEnd"/>
      <w:r>
        <w:rPr>
          <w:rFonts w:ascii="Times New Roman" w:hAnsi="Times New Roman" w:cs="Times New Roman"/>
          <w:sz w:val="24"/>
          <w:szCs w:val="24"/>
        </w:rPr>
        <w:t>) i koeficijenti namjene (Kn) za obračun komunalne naknade:</w:t>
      </w:r>
    </w:p>
    <w:p w:rsidR="0067208B" w:rsidRDefault="0067208B" w:rsidP="0067208B">
      <w:pPr>
        <w:pStyle w:val="Bezproreda1"/>
        <w:ind w:left="360"/>
        <w:rPr>
          <w:rFonts w:ascii="Times New Roman" w:hAnsi="Times New Roman" w:cs="Times New Roman"/>
          <w:sz w:val="24"/>
          <w:szCs w:val="24"/>
        </w:rPr>
      </w:pPr>
    </w:p>
    <w:p w:rsidR="0067208B" w:rsidRDefault="0067208B" w:rsidP="0067208B">
      <w:pPr>
        <w:pStyle w:val="Bezproreda1"/>
        <w:ind w:left="36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2"/>
        <w:gridCol w:w="4145"/>
        <w:gridCol w:w="1017"/>
        <w:gridCol w:w="1206"/>
        <w:gridCol w:w="1206"/>
      </w:tblGrid>
      <w:tr w:rsidR="0067208B" w:rsidTr="004D18FB">
        <w:tc>
          <w:tcPr>
            <w:tcW w:w="741"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rPr>
            </w:pPr>
            <w:r>
              <w:rPr>
                <w:rFonts w:ascii="Times New Roman" w:hAnsi="Times New Roman" w:cs="Times New Roman"/>
              </w:rPr>
              <w:t>Red.</w:t>
            </w:r>
          </w:p>
          <w:p w:rsidR="0067208B" w:rsidRDefault="0067208B" w:rsidP="004D18FB">
            <w:pPr>
              <w:pStyle w:val="Bezproreda1"/>
              <w:rPr>
                <w:rFonts w:ascii="Times New Roman" w:hAnsi="Times New Roman" w:cs="Times New Roman"/>
              </w:rPr>
            </w:pPr>
            <w:r>
              <w:rPr>
                <w:rFonts w:ascii="Times New Roman" w:hAnsi="Times New Roman" w:cs="Times New Roman"/>
              </w:rPr>
              <w:t>br.</w:t>
            </w:r>
          </w:p>
        </w:tc>
        <w:tc>
          <w:tcPr>
            <w:tcW w:w="4698"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rPr>
            </w:pPr>
            <w:r>
              <w:rPr>
                <w:rFonts w:ascii="Times New Roman" w:hAnsi="Times New Roman" w:cs="Times New Roman"/>
              </w:rPr>
              <w:t xml:space="preserve"> Vrsta prostora- djelatnosti za koje se plaća komunalna naknada</w:t>
            </w:r>
          </w:p>
        </w:tc>
        <w:tc>
          <w:tcPr>
            <w:tcW w:w="1077"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4"/>
                <w:szCs w:val="24"/>
              </w:rPr>
            </w:pPr>
            <w:r>
              <w:rPr>
                <w:rFonts w:ascii="Times New Roman" w:hAnsi="Times New Roman" w:cs="Times New Roman"/>
                <w:sz w:val="24"/>
                <w:szCs w:val="24"/>
              </w:rPr>
              <w:t xml:space="preserve"> Zona</w:t>
            </w:r>
          </w:p>
        </w:tc>
        <w:tc>
          <w:tcPr>
            <w:tcW w:w="1206"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rPr>
            </w:pPr>
            <w:proofErr w:type="spellStart"/>
            <w:r>
              <w:rPr>
                <w:rFonts w:ascii="Times New Roman" w:hAnsi="Times New Roman" w:cs="Times New Roman"/>
              </w:rPr>
              <w:t>Koeficijnet</w:t>
            </w:r>
            <w:proofErr w:type="spellEnd"/>
            <w:r>
              <w:rPr>
                <w:rFonts w:ascii="Times New Roman" w:hAnsi="Times New Roman" w:cs="Times New Roman"/>
              </w:rPr>
              <w:t xml:space="preserve"> zone (</w:t>
            </w:r>
            <w:proofErr w:type="spellStart"/>
            <w:r>
              <w:rPr>
                <w:rFonts w:ascii="Times New Roman" w:hAnsi="Times New Roman" w:cs="Times New Roman"/>
              </w:rPr>
              <w:t>Kz</w:t>
            </w:r>
            <w:proofErr w:type="spellEnd"/>
            <w:r>
              <w:rPr>
                <w:rFonts w:ascii="Times New Roman" w:hAnsi="Times New Roman" w:cs="Times New Roman"/>
              </w:rPr>
              <w:t>)</w:t>
            </w:r>
          </w:p>
        </w:tc>
        <w:tc>
          <w:tcPr>
            <w:tcW w:w="1206"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rPr>
            </w:pPr>
            <w:r>
              <w:rPr>
                <w:rFonts w:ascii="Times New Roman" w:hAnsi="Times New Roman" w:cs="Times New Roman"/>
              </w:rPr>
              <w:t>Koeficijent namjene (Kn)</w:t>
            </w:r>
          </w:p>
        </w:tc>
      </w:tr>
      <w:tr w:rsidR="0067208B" w:rsidTr="004D18FB">
        <w:tc>
          <w:tcPr>
            <w:tcW w:w="741"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4"/>
                <w:szCs w:val="24"/>
              </w:rPr>
            </w:pPr>
          </w:p>
          <w:p w:rsidR="0067208B" w:rsidRDefault="0067208B" w:rsidP="004D18FB">
            <w:pPr>
              <w:pStyle w:val="Bezproreda1"/>
              <w:rPr>
                <w:rFonts w:ascii="Times New Roman" w:hAnsi="Times New Roman" w:cs="Times New Roman"/>
                <w:sz w:val="24"/>
                <w:szCs w:val="24"/>
              </w:rPr>
            </w:pPr>
            <w:r>
              <w:rPr>
                <w:rFonts w:ascii="Times New Roman" w:hAnsi="Times New Roman" w:cs="Times New Roman"/>
                <w:sz w:val="24"/>
                <w:szCs w:val="24"/>
              </w:rPr>
              <w:t xml:space="preserve"> 1.</w:t>
            </w:r>
          </w:p>
        </w:tc>
        <w:tc>
          <w:tcPr>
            <w:tcW w:w="4698"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rPr>
            </w:pPr>
            <w:r>
              <w:rPr>
                <w:rFonts w:ascii="Times New Roman" w:hAnsi="Times New Roman" w:cs="Times New Roman"/>
              </w:rPr>
              <w:t xml:space="preserve"> Stambeni prostor  u svim vrstama stanova, obiteljskim kućama, kuće za odmor, garaže i pomoćni objekti te prostor koji koriste neprofitne organizacije</w:t>
            </w:r>
          </w:p>
        </w:tc>
        <w:tc>
          <w:tcPr>
            <w:tcW w:w="1077"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rPr>
              <w:br/>
              <w:t>II</w:t>
            </w:r>
            <w:r>
              <w:rPr>
                <w:rFonts w:ascii="Times New Roman" w:hAnsi="Times New Roman" w:cs="Times New Roman"/>
                <w:sz w:val="20"/>
                <w:szCs w:val="20"/>
              </w:rPr>
              <w:br/>
              <w:t>III</w:t>
            </w:r>
          </w:p>
        </w:tc>
        <w:tc>
          <w:tcPr>
            <w:tcW w:w="1206"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0,80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0,50</w:t>
            </w:r>
          </w:p>
        </w:tc>
        <w:tc>
          <w:tcPr>
            <w:tcW w:w="1206"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1,00</w:t>
            </w:r>
          </w:p>
        </w:tc>
      </w:tr>
      <w:tr w:rsidR="0067208B" w:rsidTr="004D18FB">
        <w:tc>
          <w:tcPr>
            <w:tcW w:w="741"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4"/>
                <w:szCs w:val="24"/>
              </w:rPr>
            </w:pPr>
          </w:p>
          <w:p w:rsidR="0067208B" w:rsidRDefault="0067208B" w:rsidP="004D18FB">
            <w:pPr>
              <w:pStyle w:val="Bezproreda1"/>
              <w:rPr>
                <w:rFonts w:ascii="Times New Roman" w:hAnsi="Times New Roman" w:cs="Times New Roman"/>
                <w:sz w:val="24"/>
                <w:szCs w:val="24"/>
              </w:rPr>
            </w:pPr>
            <w:r>
              <w:rPr>
                <w:rFonts w:ascii="Times New Roman" w:hAnsi="Times New Roman" w:cs="Times New Roman"/>
                <w:sz w:val="24"/>
                <w:szCs w:val="24"/>
              </w:rPr>
              <w:t xml:space="preserve"> 2.</w:t>
            </w:r>
          </w:p>
        </w:tc>
        <w:tc>
          <w:tcPr>
            <w:tcW w:w="4698"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Poslovni prostor koji se koristi za obavljanje proizvodnih djelatnosti (tvorničke hale, skladišta, radionice)</w:t>
            </w:r>
          </w:p>
        </w:tc>
        <w:tc>
          <w:tcPr>
            <w:tcW w:w="1077"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rPr>
              <w:br/>
              <w:t>II</w:t>
            </w:r>
            <w:r>
              <w:rPr>
                <w:rFonts w:ascii="Times New Roman" w:hAnsi="Times New Roman" w:cs="Times New Roman"/>
                <w:sz w:val="20"/>
                <w:szCs w:val="20"/>
              </w:rPr>
              <w:br/>
              <w:t>III</w:t>
            </w:r>
          </w:p>
        </w:tc>
        <w:tc>
          <w:tcPr>
            <w:tcW w:w="1206"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0,80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0,50</w:t>
            </w:r>
          </w:p>
        </w:tc>
        <w:tc>
          <w:tcPr>
            <w:tcW w:w="1206"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5,00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5,00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5,00</w:t>
            </w:r>
          </w:p>
        </w:tc>
      </w:tr>
      <w:tr w:rsidR="0067208B" w:rsidTr="004D18FB">
        <w:tc>
          <w:tcPr>
            <w:tcW w:w="741"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4"/>
                <w:szCs w:val="24"/>
              </w:rPr>
            </w:pPr>
          </w:p>
          <w:p w:rsidR="0067208B" w:rsidRDefault="0067208B" w:rsidP="004D18FB">
            <w:pPr>
              <w:pStyle w:val="Bezproreda1"/>
              <w:rPr>
                <w:rFonts w:ascii="Times New Roman" w:hAnsi="Times New Roman" w:cs="Times New Roman"/>
                <w:sz w:val="24"/>
                <w:szCs w:val="24"/>
              </w:rPr>
            </w:pPr>
            <w:r>
              <w:rPr>
                <w:rFonts w:ascii="Times New Roman" w:hAnsi="Times New Roman" w:cs="Times New Roman"/>
                <w:sz w:val="24"/>
                <w:szCs w:val="24"/>
              </w:rPr>
              <w:t xml:space="preserve"> 3.</w:t>
            </w:r>
          </w:p>
        </w:tc>
        <w:tc>
          <w:tcPr>
            <w:tcW w:w="4698"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rPr>
            </w:pPr>
            <w:r>
              <w:rPr>
                <w:rFonts w:ascii="Times New Roman" w:hAnsi="Times New Roman" w:cs="Times New Roman"/>
              </w:rPr>
              <w:t xml:space="preserve">Poslovni  prostor koji se koristi za obavljanje trgovačke i ugostiteljske djelatnosti </w:t>
            </w:r>
          </w:p>
        </w:tc>
        <w:tc>
          <w:tcPr>
            <w:tcW w:w="1077"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rPr>
              <w:br/>
              <w:t>II</w:t>
            </w:r>
            <w:r>
              <w:rPr>
                <w:rFonts w:ascii="Times New Roman" w:hAnsi="Times New Roman" w:cs="Times New Roman"/>
                <w:sz w:val="20"/>
                <w:szCs w:val="20"/>
              </w:rPr>
              <w:br/>
              <w:t>III</w:t>
            </w:r>
          </w:p>
        </w:tc>
        <w:tc>
          <w:tcPr>
            <w:tcW w:w="1206"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0,80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0,50</w:t>
            </w:r>
          </w:p>
        </w:tc>
        <w:tc>
          <w:tcPr>
            <w:tcW w:w="1206" w:type="dxa"/>
            <w:tcBorders>
              <w:top w:val="single" w:sz="4" w:space="0" w:color="000000"/>
              <w:left w:val="single" w:sz="4" w:space="0" w:color="000000"/>
              <w:bottom w:val="single" w:sz="4" w:space="0" w:color="000000"/>
              <w:right w:val="single" w:sz="4" w:space="0" w:color="000000"/>
            </w:tcBorders>
          </w:tcPr>
          <w:p w:rsidR="0067208B" w:rsidRDefault="007548E9"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w:t>
            </w:r>
            <w:r w:rsidR="0067208B">
              <w:rPr>
                <w:rFonts w:ascii="Times New Roman" w:hAnsi="Times New Roman" w:cs="Times New Roman"/>
                <w:sz w:val="20"/>
                <w:szCs w:val="20"/>
              </w:rPr>
              <w:t>,00</w:t>
            </w:r>
          </w:p>
          <w:p w:rsidR="0067208B" w:rsidRDefault="007548E9"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w:t>
            </w:r>
            <w:r w:rsidR="0067208B">
              <w:rPr>
                <w:rFonts w:ascii="Times New Roman" w:hAnsi="Times New Roman" w:cs="Times New Roman"/>
                <w:sz w:val="20"/>
                <w:szCs w:val="20"/>
              </w:rPr>
              <w:t>,00</w:t>
            </w:r>
          </w:p>
          <w:p w:rsidR="0067208B" w:rsidRDefault="007548E9"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w:t>
            </w:r>
            <w:r w:rsidR="0067208B">
              <w:rPr>
                <w:rFonts w:ascii="Times New Roman" w:hAnsi="Times New Roman" w:cs="Times New Roman"/>
                <w:sz w:val="20"/>
                <w:szCs w:val="20"/>
              </w:rPr>
              <w:t>,00</w:t>
            </w:r>
          </w:p>
        </w:tc>
      </w:tr>
      <w:tr w:rsidR="0067208B" w:rsidTr="004D18FB">
        <w:tc>
          <w:tcPr>
            <w:tcW w:w="741"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4"/>
                <w:szCs w:val="24"/>
              </w:rPr>
            </w:pPr>
          </w:p>
          <w:p w:rsidR="0067208B" w:rsidRDefault="0067208B" w:rsidP="004D18FB">
            <w:pPr>
              <w:pStyle w:val="Bezproreda1"/>
              <w:rPr>
                <w:rFonts w:ascii="Times New Roman" w:hAnsi="Times New Roman" w:cs="Times New Roman"/>
                <w:sz w:val="24"/>
                <w:szCs w:val="24"/>
              </w:rPr>
            </w:pPr>
            <w:r>
              <w:rPr>
                <w:rFonts w:ascii="Times New Roman" w:hAnsi="Times New Roman" w:cs="Times New Roman"/>
                <w:sz w:val="24"/>
                <w:szCs w:val="24"/>
              </w:rPr>
              <w:t xml:space="preserve"> 4.</w:t>
            </w:r>
          </w:p>
        </w:tc>
        <w:tc>
          <w:tcPr>
            <w:tcW w:w="4698"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rPr>
            </w:pPr>
            <w:r>
              <w:rPr>
                <w:rFonts w:ascii="Times New Roman" w:hAnsi="Times New Roman" w:cs="Times New Roman"/>
              </w:rPr>
              <w:t xml:space="preserve">Poslovni  prostor koji se koristi za obavljanje zanatske djelatnosti </w:t>
            </w:r>
          </w:p>
        </w:tc>
        <w:tc>
          <w:tcPr>
            <w:tcW w:w="1077"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rPr>
              <w:br/>
              <w:t>II</w:t>
            </w:r>
            <w:r>
              <w:rPr>
                <w:rFonts w:ascii="Times New Roman" w:hAnsi="Times New Roman" w:cs="Times New Roman"/>
                <w:sz w:val="20"/>
                <w:szCs w:val="20"/>
              </w:rPr>
              <w:br/>
              <w:t>III</w:t>
            </w:r>
          </w:p>
        </w:tc>
        <w:tc>
          <w:tcPr>
            <w:tcW w:w="1206"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1,00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0,80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0,50</w:t>
            </w:r>
          </w:p>
        </w:tc>
        <w:tc>
          <w:tcPr>
            <w:tcW w:w="1206" w:type="dxa"/>
            <w:tcBorders>
              <w:top w:val="single" w:sz="4" w:space="0" w:color="000000"/>
              <w:left w:val="single" w:sz="4" w:space="0" w:color="000000"/>
              <w:bottom w:val="single" w:sz="4" w:space="0" w:color="000000"/>
              <w:right w:val="single" w:sz="4" w:space="0" w:color="000000"/>
            </w:tcBorders>
          </w:tcPr>
          <w:p w:rsidR="0067208B" w:rsidRDefault="0069179F"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w:t>
            </w:r>
            <w:r w:rsidR="0067208B">
              <w:rPr>
                <w:rFonts w:ascii="Times New Roman" w:hAnsi="Times New Roman" w:cs="Times New Roman"/>
                <w:sz w:val="20"/>
                <w:szCs w:val="20"/>
              </w:rPr>
              <w:t>,00</w:t>
            </w:r>
          </w:p>
          <w:p w:rsidR="0067208B" w:rsidRDefault="0069179F"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w:t>
            </w:r>
            <w:r w:rsidR="0067208B">
              <w:rPr>
                <w:rFonts w:ascii="Times New Roman" w:hAnsi="Times New Roman" w:cs="Times New Roman"/>
                <w:sz w:val="20"/>
                <w:szCs w:val="20"/>
              </w:rPr>
              <w:t>,00</w:t>
            </w:r>
          </w:p>
          <w:p w:rsidR="0067208B" w:rsidRDefault="0069179F"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w:t>
            </w:r>
            <w:r w:rsidR="0067208B">
              <w:rPr>
                <w:rFonts w:ascii="Times New Roman" w:hAnsi="Times New Roman" w:cs="Times New Roman"/>
                <w:sz w:val="20"/>
                <w:szCs w:val="20"/>
              </w:rPr>
              <w:t>,00</w:t>
            </w:r>
          </w:p>
        </w:tc>
      </w:tr>
      <w:tr w:rsidR="0067208B" w:rsidTr="004D18FB">
        <w:tc>
          <w:tcPr>
            <w:tcW w:w="741"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4"/>
                <w:szCs w:val="24"/>
              </w:rPr>
            </w:pPr>
          </w:p>
          <w:p w:rsidR="0067208B" w:rsidRDefault="0067208B" w:rsidP="004D18FB">
            <w:pPr>
              <w:pStyle w:val="Bezproreda1"/>
              <w:rPr>
                <w:rFonts w:ascii="Times New Roman" w:hAnsi="Times New Roman" w:cs="Times New Roman"/>
                <w:sz w:val="24"/>
                <w:szCs w:val="24"/>
              </w:rPr>
            </w:pPr>
            <w:r>
              <w:rPr>
                <w:rFonts w:ascii="Times New Roman" w:hAnsi="Times New Roman" w:cs="Times New Roman"/>
                <w:sz w:val="24"/>
                <w:szCs w:val="24"/>
              </w:rPr>
              <w:t xml:space="preserve"> 5.</w:t>
            </w:r>
          </w:p>
        </w:tc>
        <w:tc>
          <w:tcPr>
            <w:tcW w:w="4698"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rPr>
            </w:pPr>
            <w:r>
              <w:rPr>
                <w:rFonts w:ascii="Times New Roman" w:hAnsi="Times New Roman" w:cs="Times New Roman"/>
              </w:rPr>
              <w:t>Poslovni  prostor koji se koristi za obavljanje druge poslovne djelatnosti (banke, agencije, pošte, uredske prostorije i sl.)</w:t>
            </w:r>
          </w:p>
        </w:tc>
        <w:tc>
          <w:tcPr>
            <w:tcW w:w="1077"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rPr>
              <w:br/>
              <w:t>II</w:t>
            </w:r>
            <w:r>
              <w:rPr>
                <w:rFonts w:ascii="Times New Roman" w:hAnsi="Times New Roman" w:cs="Times New Roman"/>
                <w:sz w:val="20"/>
                <w:szCs w:val="20"/>
              </w:rPr>
              <w:br/>
              <w:t>III</w:t>
            </w:r>
          </w:p>
        </w:tc>
        <w:tc>
          <w:tcPr>
            <w:tcW w:w="1206"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1,00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0,80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0,50</w:t>
            </w:r>
          </w:p>
        </w:tc>
        <w:tc>
          <w:tcPr>
            <w:tcW w:w="1206"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10,00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10,00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10,00</w:t>
            </w:r>
          </w:p>
        </w:tc>
      </w:tr>
      <w:tr w:rsidR="0067208B" w:rsidTr="004D18FB">
        <w:tc>
          <w:tcPr>
            <w:tcW w:w="741"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4"/>
                <w:szCs w:val="24"/>
              </w:rPr>
            </w:pPr>
          </w:p>
          <w:p w:rsidR="0067208B" w:rsidRDefault="0067208B" w:rsidP="004D18FB">
            <w:pPr>
              <w:pStyle w:val="Bezproreda1"/>
              <w:rPr>
                <w:rFonts w:ascii="Times New Roman" w:hAnsi="Times New Roman" w:cs="Times New Roman"/>
                <w:sz w:val="24"/>
                <w:szCs w:val="24"/>
              </w:rPr>
            </w:pPr>
            <w:r>
              <w:rPr>
                <w:rFonts w:ascii="Times New Roman" w:hAnsi="Times New Roman" w:cs="Times New Roman"/>
                <w:sz w:val="24"/>
                <w:szCs w:val="24"/>
              </w:rPr>
              <w:t xml:space="preserve"> 6.</w:t>
            </w:r>
          </w:p>
        </w:tc>
        <w:tc>
          <w:tcPr>
            <w:tcW w:w="4698"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Neizgrađeno građevinsko zemljište </w:t>
            </w:r>
          </w:p>
        </w:tc>
        <w:tc>
          <w:tcPr>
            <w:tcW w:w="1077"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rPr>
              <w:br/>
              <w:t>II</w:t>
            </w:r>
            <w:r>
              <w:rPr>
                <w:rFonts w:ascii="Times New Roman" w:hAnsi="Times New Roman" w:cs="Times New Roman"/>
                <w:sz w:val="20"/>
                <w:szCs w:val="20"/>
              </w:rPr>
              <w:br/>
              <w:t>III</w:t>
            </w:r>
          </w:p>
        </w:tc>
        <w:tc>
          <w:tcPr>
            <w:tcW w:w="1206"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1,00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0,80</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0,50</w:t>
            </w:r>
          </w:p>
        </w:tc>
        <w:tc>
          <w:tcPr>
            <w:tcW w:w="1206" w:type="dxa"/>
            <w:tcBorders>
              <w:top w:val="single" w:sz="4" w:space="0" w:color="000000"/>
              <w:left w:val="single" w:sz="4" w:space="0" w:color="000000"/>
              <w:bottom w:val="single" w:sz="4" w:space="0" w:color="000000"/>
              <w:right w:val="single" w:sz="4" w:space="0" w:color="000000"/>
            </w:tcBorders>
          </w:tcPr>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0,05</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0,05</w:t>
            </w:r>
          </w:p>
          <w:p w:rsidR="0067208B" w:rsidRDefault="0067208B" w:rsidP="004D18FB">
            <w:pPr>
              <w:pStyle w:val="Bezproreda1"/>
              <w:rPr>
                <w:rFonts w:ascii="Times New Roman" w:hAnsi="Times New Roman" w:cs="Times New Roman"/>
                <w:sz w:val="20"/>
                <w:szCs w:val="20"/>
              </w:rPr>
            </w:pPr>
            <w:r>
              <w:rPr>
                <w:rFonts w:ascii="Times New Roman" w:hAnsi="Times New Roman" w:cs="Times New Roman"/>
                <w:sz w:val="20"/>
                <w:szCs w:val="20"/>
              </w:rPr>
              <w:t xml:space="preserve"> 0,05</w:t>
            </w:r>
          </w:p>
        </w:tc>
      </w:tr>
    </w:tbl>
    <w:p w:rsidR="0067208B" w:rsidRDefault="0067208B" w:rsidP="0067208B">
      <w:pPr>
        <w:pStyle w:val="Bezproreda1"/>
        <w:ind w:left="360"/>
        <w:rPr>
          <w:rFonts w:ascii="Times New Roman" w:hAnsi="Times New Roman" w:cs="Times New Roman"/>
          <w:sz w:val="24"/>
          <w:szCs w:val="24"/>
        </w:rPr>
      </w:pPr>
    </w:p>
    <w:p w:rsidR="0067208B" w:rsidRDefault="0067208B" w:rsidP="0067208B">
      <w:pPr>
        <w:pStyle w:val="Bezproreda1"/>
        <w:ind w:left="360" w:firstLine="348"/>
        <w:jc w:val="both"/>
        <w:rPr>
          <w:rFonts w:ascii="Times New Roman" w:hAnsi="Times New Roman" w:cs="Times New Roman"/>
          <w:sz w:val="24"/>
          <w:szCs w:val="24"/>
        </w:rPr>
      </w:pPr>
      <w:r>
        <w:rPr>
          <w:rFonts w:ascii="Times New Roman" w:hAnsi="Times New Roman" w:cs="Times New Roman"/>
          <w:sz w:val="24"/>
          <w:szCs w:val="24"/>
        </w:rPr>
        <w:t>Za građevinsko zemljište koje služi za obavljanje poslovne djelatnosti koeficijent namjene iznosi 10% koeficijenta namjene koji je određen za poslovni prostor.</w:t>
      </w:r>
    </w:p>
    <w:p w:rsidR="0067208B" w:rsidRPr="001A6925" w:rsidRDefault="0067208B" w:rsidP="0067208B">
      <w:pPr>
        <w:ind w:left="360" w:firstLine="345"/>
        <w:jc w:val="both"/>
        <w:rPr>
          <w:sz w:val="24"/>
          <w:szCs w:val="24"/>
          <w:lang w:val="hr-HR"/>
        </w:rPr>
      </w:pPr>
      <w:r w:rsidRPr="001A6925">
        <w:rPr>
          <w:sz w:val="24"/>
          <w:szCs w:val="24"/>
          <w:lang w:val="hr-HR"/>
        </w:rPr>
        <w:t xml:space="preserve">Za poslovni prostor i građevinsko zemljište koje služi obavljanju poslovne </w:t>
      </w:r>
      <w:r w:rsidRPr="001A6925">
        <w:rPr>
          <w:sz w:val="24"/>
          <w:szCs w:val="24"/>
          <w:lang w:val="hr-HR"/>
        </w:rPr>
        <w:lastRenderedPageBreak/>
        <w:t>djelatnosti, kad se poslovna djelatnost ne obavlja više od šest mjeseci u kalendarskoj godini, koeficijent namjene umanjuje se za 50%, ali ne može biti manji od koefi</w:t>
      </w:r>
      <w:r w:rsidR="001A6925">
        <w:rPr>
          <w:sz w:val="24"/>
          <w:szCs w:val="24"/>
          <w:lang w:val="hr-HR"/>
        </w:rPr>
        <w:t>cijenta namjene za stambeni pros</w:t>
      </w:r>
      <w:r w:rsidRPr="001A6925">
        <w:rPr>
          <w:sz w:val="24"/>
          <w:szCs w:val="24"/>
          <w:lang w:val="hr-HR"/>
        </w:rPr>
        <w:t>tor odnosno za neizgrađeno građevinsko zemljište.</w:t>
      </w:r>
    </w:p>
    <w:p w:rsidR="0067208B" w:rsidRPr="001A6925" w:rsidRDefault="0067208B" w:rsidP="0067208B">
      <w:pPr>
        <w:ind w:left="360" w:firstLine="345"/>
        <w:jc w:val="both"/>
        <w:rPr>
          <w:sz w:val="24"/>
          <w:szCs w:val="24"/>
          <w:lang w:val="hr-HR"/>
        </w:rPr>
      </w:pPr>
      <w:r w:rsidRPr="001A6925">
        <w:rPr>
          <w:sz w:val="24"/>
          <w:szCs w:val="24"/>
          <w:lang w:val="hr-HR"/>
        </w:rPr>
        <w:t xml:space="preserve">Umanjenje koeficijenta namjene iz stavka 3. ovog članka ostvaruje se temeljem zahtjeva obveznika kojeg je dužan podnijeti nadležnom upravnom tijelu do </w:t>
      </w:r>
      <w:r w:rsidR="001A6925">
        <w:rPr>
          <w:sz w:val="24"/>
          <w:szCs w:val="24"/>
          <w:lang w:val="hr-HR"/>
        </w:rPr>
        <w:t>01</w:t>
      </w:r>
      <w:r w:rsidRPr="001A6925">
        <w:rPr>
          <w:sz w:val="24"/>
          <w:szCs w:val="24"/>
          <w:lang w:val="hr-HR"/>
        </w:rPr>
        <w:t xml:space="preserve">. </w:t>
      </w:r>
      <w:r w:rsidR="001A6925">
        <w:rPr>
          <w:sz w:val="24"/>
          <w:szCs w:val="24"/>
          <w:lang w:val="hr-HR"/>
        </w:rPr>
        <w:t>ožujka</w:t>
      </w:r>
      <w:r w:rsidRPr="001A6925">
        <w:rPr>
          <w:sz w:val="24"/>
          <w:szCs w:val="24"/>
          <w:lang w:val="hr-HR"/>
        </w:rPr>
        <w:t xml:space="preserve"> za prethodnu kalendarsku godinu s dokumentacijom kojom dokazuje obavljanje djelatnosti manje od 6 mjeseci u kalendarskoj godini.</w:t>
      </w:r>
    </w:p>
    <w:p w:rsidR="0067208B" w:rsidRPr="001A6925" w:rsidRDefault="0067208B" w:rsidP="0067208B">
      <w:pPr>
        <w:ind w:left="360" w:firstLine="345"/>
        <w:jc w:val="both"/>
        <w:rPr>
          <w:sz w:val="24"/>
          <w:szCs w:val="24"/>
          <w:lang w:val="hr-HR"/>
        </w:rPr>
      </w:pPr>
      <w:r w:rsidRPr="001A6925">
        <w:rPr>
          <w:sz w:val="24"/>
          <w:szCs w:val="24"/>
          <w:lang w:val="hr-HR"/>
        </w:rPr>
        <w:t>Ako se u jednom poslovnom prostoru obavlja više djelatnosti s različitim koeficijentima namjene, nadležno upravno tijelo će utvrditi rješenjem posebno obvezu za svaku djelatnost, a u slučaju da se elementi obračuna ne mogu raščlaniti po pojedinim djelatnostima, obveza plaćanja će se utvrditi prema pretežitoj djelatnosti , odnosno osnovnoj djelatnosti.</w:t>
      </w:r>
    </w:p>
    <w:p w:rsidR="0067208B" w:rsidRPr="001A6925" w:rsidRDefault="0067208B" w:rsidP="0067208B">
      <w:pPr>
        <w:ind w:left="360" w:firstLine="345"/>
        <w:jc w:val="both"/>
        <w:rPr>
          <w:sz w:val="24"/>
          <w:szCs w:val="24"/>
          <w:lang w:val="hr-HR"/>
        </w:rPr>
      </w:pPr>
      <w:r w:rsidRPr="001A6925">
        <w:rPr>
          <w:sz w:val="24"/>
          <w:szCs w:val="24"/>
          <w:lang w:val="hr-HR"/>
        </w:rPr>
        <w:t>Za poslovne prostore koji se ne koriste u svrhu obavljanja djelatnosti (prazni poslovni prostori), koeficijent namjene se utvrđuje prema djelatnosti koja se obavljala u tom prostoru prije prestanka korištenja.</w:t>
      </w:r>
    </w:p>
    <w:p w:rsidR="0067208B" w:rsidRPr="001A6925" w:rsidRDefault="0067208B" w:rsidP="0067208B">
      <w:pPr>
        <w:ind w:left="360" w:firstLine="345"/>
        <w:jc w:val="both"/>
        <w:rPr>
          <w:sz w:val="24"/>
          <w:szCs w:val="24"/>
          <w:lang w:val="hr-HR"/>
        </w:rPr>
      </w:pPr>
      <w:r w:rsidRPr="001A6925">
        <w:rPr>
          <w:sz w:val="24"/>
          <w:szCs w:val="24"/>
          <w:lang w:val="hr-HR"/>
        </w:rPr>
        <w:t>Ukoliko nije moguće odrediti namjenu nekretnine, koeficijent namjene određuje se sukladno namjeni nekretnine iz akta kojim se dozvoljava gradnja.</w:t>
      </w:r>
    </w:p>
    <w:p w:rsidR="0067208B" w:rsidRDefault="0067208B" w:rsidP="0067208B">
      <w:pPr>
        <w:pStyle w:val="Bezproreda1"/>
        <w:jc w:val="both"/>
        <w:rPr>
          <w:rFonts w:ascii="Times New Roman" w:hAnsi="Times New Roman" w:cs="Times New Roman"/>
          <w:sz w:val="24"/>
          <w:szCs w:val="24"/>
        </w:rPr>
      </w:pPr>
    </w:p>
    <w:p w:rsidR="0067208B" w:rsidRDefault="0067208B" w:rsidP="0067208B">
      <w:pPr>
        <w:pStyle w:val="Bezproreda1"/>
        <w:ind w:left="360"/>
        <w:rPr>
          <w:rFonts w:ascii="Times New Roman" w:hAnsi="Times New Roman" w:cs="Times New Roman"/>
          <w:sz w:val="24"/>
          <w:szCs w:val="24"/>
        </w:rPr>
      </w:pPr>
    </w:p>
    <w:p w:rsidR="00C2276C" w:rsidRDefault="0067208B" w:rsidP="0067208B">
      <w:pPr>
        <w:pStyle w:val="Bezproreda1"/>
        <w:ind w:left="360"/>
        <w:jc w:val="center"/>
        <w:rPr>
          <w:rFonts w:ascii="Times New Roman" w:hAnsi="Times New Roman" w:cs="Times New Roman"/>
          <w:b/>
          <w:sz w:val="24"/>
          <w:szCs w:val="24"/>
        </w:rPr>
      </w:pPr>
      <w:r>
        <w:rPr>
          <w:rFonts w:ascii="Times New Roman" w:hAnsi="Times New Roman" w:cs="Times New Roman"/>
          <w:b/>
          <w:sz w:val="24"/>
          <w:szCs w:val="24"/>
        </w:rPr>
        <w:t>Članak 3.</w:t>
      </w:r>
    </w:p>
    <w:p w:rsidR="00C2276C" w:rsidRDefault="00C2276C" w:rsidP="00C2276C">
      <w:pPr>
        <w:pStyle w:val="Bezproreda1"/>
        <w:ind w:left="360"/>
        <w:jc w:val="both"/>
        <w:rPr>
          <w:rFonts w:ascii="Times New Roman" w:hAnsi="Times New Roman" w:cs="Times New Roman"/>
          <w:b/>
          <w:sz w:val="24"/>
          <w:szCs w:val="24"/>
        </w:rPr>
      </w:pPr>
      <w:r>
        <w:rPr>
          <w:rFonts w:ascii="Times New Roman" w:hAnsi="Times New Roman" w:cs="Times New Roman"/>
          <w:sz w:val="24"/>
          <w:szCs w:val="24"/>
        </w:rPr>
        <w:t>Članak 12.  Odluke o komunalnoj naknadi mijenja se i glasi:</w:t>
      </w:r>
    </w:p>
    <w:p w:rsidR="00C2276C" w:rsidRDefault="00C2276C" w:rsidP="0067208B">
      <w:pPr>
        <w:pStyle w:val="Bezproreda1"/>
        <w:ind w:left="360"/>
        <w:jc w:val="center"/>
        <w:rPr>
          <w:rFonts w:ascii="Times New Roman" w:hAnsi="Times New Roman" w:cs="Times New Roman"/>
          <w:b/>
          <w:sz w:val="24"/>
          <w:szCs w:val="24"/>
        </w:rPr>
      </w:pPr>
    </w:p>
    <w:p w:rsidR="00C2276C" w:rsidRDefault="00C2276C" w:rsidP="00C2276C">
      <w:pPr>
        <w:pStyle w:val="Bezproreda1"/>
        <w:ind w:left="360"/>
        <w:jc w:val="center"/>
        <w:rPr>
          <w:rFonts w:ascii="Times New Roman" w:hAnsi="Times New Roman" w:cs="Times New Roman"/>
          <w:sz w:val="24"/>
          <w:szCs w:val="24"/>
        </w:rPr>
      </w:pPr>
      <w:r>
        <w:rPr>
          <w:rFonts w:ascii="Times New Roman" w:hAnsi="Times New Roman" w:cs="Times New Roman"/>
          <w:sz w:val="24"/>
          <w:szCs w:val="24"/>
        </w:rPr>
        <w:t>Članak  12.</w:t>
      </w:r>
    </w:p>
    <w:p w:rsidR="00C2276C" w:rsidRDefault="00C2276C" w:rsidP="00C2276C">
      <w:pPr>
        <w:pStyle w:val="Bezproreda1"/>
        <w:ind w:left="360"/>
        <w:jc w:val="both"/>
        <w:rPr>
          <w:rFonts w:ascii="Times New Roman" w:hAnsi="Times New Roman" w:cs="Times New Roman"/>
          <w:sz w:val="24"/>
          <w:szCs w:val="24"/>
        </w:rPr>
      </w:pPr>
    </w:p>
    <w:p w:rsidR="00C2276C" w:rsidRDefault="00C2276C" w:rsidP="00C2276C">
      <w:pPr>
        <w:pStyle w:val="Bezproreda1"/>
        <w:ind w:left="360"/>
        <w:jc w:val="both"/>
        <w:rPr>
          <w:rFonts w:ascii="Times New Roman" w:hAnsi="Times New Roman" w:cs="Times New Roman"/>
          <w:sz w:val="24"/>
          <w:szCs w:val="24"/>
        </w:rPr>
      </w:pPr>
      <w:r>
        <w:t xml:space="preserve">     </w:t>
      </w:r>
      <w:r>
        <w:rPr>
          <w:rFonts w:ascii="Times New Roman" w:hAnsi="Times New Roman" w:cs="Times New Roman"/>
          <w:sz w:val="24"/>
          <w:szCs w:val="24"/>
        </w:rPr>
        <w:t>Za hotele, apartmanska naselja i kampove, visina  godišnje komunalne naknade iznosi 1,4% ukupnog godišnjeg prihoda iz prethodne godine ostvarenog u hotelima, apartmanskim naseljima i kampovima koji se nalaze na području Grada Paga.</w:t>
      </w:r>
    </w:p>
    <w:p w:rsidR="00C2276C" w:rsidRDefault="00C2276C" w:rsidP="0067208B">
      <w:pPr>
        <w:pStyle w:val="Bezproreda1"/>
        <w:ind w:left="360"/>
        <w:jc w:val="center"/>
        <w:rPr>
          <w:rFonts w:ascii="Times New Roman" w:hAnsi="Times New Roman" w:cs="Times New Roman"/>
          <w:b/>
          <w:sz w:val="24"/>
          <w:szCs w:val="24"/>
        </w:rPr>
      </w:pPr>
    </w:p>
    <w:p w:rsidR="0067208B" w:rsidRDefault="0067208B" w:rsidP="0067208B">
      <w:pPr>
        <w:pStyle w:val="Bezproreda1"/>
        <w:ind w:left="360"/>
        <w:jc w:val="both"/>
        <w:rPr>
          <w:rFonts w:ascii="Times New Roman" w:hAnsi="Times New Roman" w:cs="Times New Roman"/>
          <w:sz w:val="24"/>
          <w:szCs w:val="24"/>
        </w:rPr>
      </w:pPr>
      <w:r>
        <w:rPr>
          <w:rFonts w:ascii="Times New Roman" w:hAnsi="Times New Roman" w:cs="Times New Roman"/>
          <w:sz w:val="24"/>
          <w:szCs w:val="24"/>
        </w:rPr>
        <w:t>Ostale odredbe ostaju neizmijenjene.</w:t>
      </w:r>
    </w:p>
    <w:p w:rsidR="0067208B" w:rsidRDefault="0067208B" w:rsidP="0067208B">
      <w:pPr>
        <w:pStyle w:val="Bezproreda1"/>
        <w:ind w:left="360"/>
        <w:rPr>
          <w:rFonts w:ascii="Times New Roman" w:hAnsi="Times New Roman" w:cs="Times New Roman"/>
          <w:sz w:val="24"/>
          <w:szCs w:val="24"/>
        </w:rPr>
      </w:pPr>
    </w:p>
    <w:p w:rsidR="0067208B" w:rsidRDefault="0067208B" w:rsidP="0067208B">
      <w:pPr>
        <w:pStyle w:val="Bezproreda1"/>
        <w:ind w:left="360"/>
        <w:rPr>
          <w:rFonts w:ascii="Times New Roman" w:hAnsi="Times New Roman" w:cs="Times New Roman"/>
          <w:sz w:val="24"/>
          <w:szCs w:val="24"/>
        </w:rPr>
      </w:pPr>
    </w:p>
    <w:p w:rsidR="0067208B" w:rsidRDefault="0067208B" w:rsidP="0067208B">
      <w:pPr>
        <w:pStyle w:val="Bezproreda1"/>
        <w:ind w:left="360"/>
        <w:jc w:val="center"/>
        <w:rPr>
          <w:rFonts w:ascii="Times New Roman" w:hAnsi="Times New Roman" w:cs="Times New Roman"/>
          <w:b/>
          <w:sz w:val="24"/>
          <w:szCs w:val="24"/>
        </w:rPr>
      </w:pPr>
      <w:r>
        <w:rPr>
          <w:rFonts w:ascii="Times New Roman" w:hAnsi="Times New Roman" w:cs="Times New Roman"/>
          <w:b/>
          <w:sz w:val="24"/>
          <w:szCs w:val="24"/>
        </w:rPr>
        <w:t>Članak 4.</w:t>
      </w:r>
    </w:p>
    <w:p w:rsidR="00CC760A" w:rsidRDefault="00CC760A" w:rsidP="0067208B">
      <w:pPr>
        <w:pStyle w:val="Bezproreda1"/>
        <w:ind w:left="360"/>
        <w:jc w:val="center"/>
        <w:rPr>
          <w:rFonts w:ascii="Times New Roman" w:hAnsi="Times New Roman" w:cs="Times New Roman"/>
          <w:b/>
          <w:sz w:val="24"/>
          <w:szCs w:val="24"/>
        </w:rPr>
      </w:pPr>
    </w:p>
    <w:p w:rsidR="00CC760A" w:rsidRDefault="00CC760A" w:rsidP="00CC760A">
      <w:pPr>
        <w:pStyle w:val="Bezproreda1"/>
        <w:ind w:left="360"/>
        <w:jc w:val="both"/>
        <w:rPr>
          <w:rFonts w:ascii="Times New Roman" w:hAnsi="Times New Roman" w:cs="Times New Roman"/>
          <w:b/>
          <w:sz w:val="24"/>
          <w:szCs w:val="24"/>
        </w:rPr>
      </w:pPr>
      <w:r>
        <w:rPr>
          <w:rFonts w:ascii="Times New Roman" w:hAnsi="Times New Roman" w:cs="Times New Roman"/>
          <w:sz w:val="24"/>
          <w:szCs w:val="24"/>
        </w:rPr>
        <w:t>Članak 13.  Odluke o komunalnoj naknadi mijenja se i glasi:</w:t>
      </w:r>
    </w:p>
    <w:p w:rsidR="00CC760A" w:rsidRDefault="00CC760A" w:rsidP="00CC760A">
      <w:pPr>
        <w:pStyle w:val="Bezproreda1"/>
        <w:ind w:left="360"/>
        <w:jc w:val="both"/>
        <w:rPr>
          <w:rFonts w:ascii="Times New Roman" w:hAnsi="Times New Roman" w:cs="Times New Roman"/>
          <w:b/>
          <w:sz w:val="24"/>
          <w:szCs w:val="24"/>
        </w:rPr>
      </w:pPr>
    </w:p>
    <w:p w:rsidR="00CC760A" w:rsidRDefault="00CC760A" w:rsidP="0067208B">
      <w:pPr>
        <w:pStyle w:val="Bezproreda1"/>
        <w:ind w:left="360"/>
        <w:jc w:val="center"/>
        <w:rPr>
          <w:rFonts w:ascii="Times New Roman" w:hAnsi="Times New Roman" w:cs="Times New Roman"/>
          <w:b/>
          <w:sz w:val="24"/>
          <w:szCs w:val="24"/>
        </w:rPr>
      </w:pPr>
    </w:p>
    <w:p w:rsidR="00CC760A" w:rsidRDefault="00CC760A" w:rsidP="00CC760A">
      <w:pPr>
        <w:pStyle w:val="Bezproreda1"/>
        <w:jc w:val="center"/>
        <w:rPr>
          <w:rFonts w:ascii="Times New Roman" w:hAnsi="Times New Roman" w:cs="Times New Roman"/>
          <w:sz w:val="24"/>
          <w:szCs w:val="24"/>
        </w:rPr>
      </w:pPr>
      <w:r>
        <w:rPr>
          <w:rFonts w:ascii="Times New Roman" w:hAnsi="Times New Roman" w:cs="Times New Roman"/>
          <w:sz w:val="24"/>
          <w:szCs w:val="24"/>
        </w:rPr>
        <w:t>Članak 13.</w:t>
      </w:r>
    </w:p>
    <w:p w:rsidR="00CC760A" w:rsidRDefault="00CC760A" w:rsidP="00CC760A">
      <w:pPr>
        <w:pStyle w:val="Bezproreda1"/>
        <w:ind w:left="360"/>
        <w:jc w:val="both"/>
        <w:rPr>
          <w:rFonts w:ascii="Times New Roman" w:hAnsi="Times New Roman" w:cs="Times New Roman"/>
          <w:sz w:val="24"/>
          <w:szCs w:val="24"/>
        </w:rPr>
      </w:pPr>
    </w:p>
    <w:p w:rsidR="00CC760A" w:rsidRDefault="00CC760A" w:rsidP="00CC760A">
      <w:pPr>
        <w:pStyle w:val="Bezproreda1"/>
        <w:ind w:left="360"/>
        <w:jc w:val="both"/>
        <w:rPr>
          <w:rFonts w:ascii="Times New Roman" w:hAnsi="Times New Roman" w:cs="Times New Roman"/>
          <w:sz w:val="24"/>
          <w:szCs w:val="24"/>
        </w:rPr>
      </w:pPr>
      <w:r>
        <w:rPr>
          <w:rFonts w:ascii="Times New Roman" w:hAnsi="Times New Roman" w:cs="Times New Roman"/>
          <w:sz w:val="24"/>
          <w:szCs w:val="24"/>
        </w:rPr>
        <w:tab/>
        <w:t>Fizičke osobe koje su obveznici plaćanja komunalne naknade, godišnji iznos komunalne naknade plaćaju u šest (6) jednakih obroka,  time da prvi obrok dospijeva  20.03., drugi obrok 20.05., treći 20.07., četvrti 20.09., peti 20.11. tekuće godine, a šesti obrok dospijeva 20.01. slijedeće godine.</w:t>
      </w:r>
    </w:p>
    <w:p w:rsidR="00CC760A" w:rsidRDefault="00CC760A" w:rsidP="00CC760A">
      <w:pPr>
        <w:pStyle w:val="Bezproreda1"/>
        <w:ind w:left="360"/>
        <w:jc w:val="both"/>
        <w:rPr>
          <w:rFonts w:ascii="Times New Roman" w:hAnsi="Times New Roman" w:cs="Times New Roman"/>
          <w:sz w:val="24"/>
          <w:szCs w:val="24"/>
        </w:rPr>
      </w:pPr>
      <w:r>
        <w:rPr>
          <w:rFonts w:ascii="Times New Roman" w:hAnsi="Times New Roman" w:cs="Times New Roman"/>
          <w:sz w:val="24"/>
          <w:szCs w:val="24"/>
        </w:rPr>
        <w:tab/>
        <w:t>Ukoliko se rješenje o komunalnoj naknadi donosi temeljem članka 94. stavka 4. Zakona o komunalnoj naknadi, iznos komunalne naknade utvrđen od dana nastanka obveze do dana donošenja rješenja, dospijeva na naplatu u roku od 15 dana, računajući od dana kada je obvezniku dostavljeno rješenje.</w:t>
      </w:r>
    </w:p>
    <w:p w:rsidR="00CC760A" w:rsidRDefault="00CC760A" w:rsidP="00CC760A">
      <w:pPr>
        <w:pStyle w:val="Bezproreda1"/>
        <w:ind w:left="360"/>
        <w:jc w:val="both"/>
        <w:rPr>
          <w:rFonts w:ascii="Times New Roman" w:hAnsi="Times New Roman" w:cs="Times New Roman"/>
          <w:sz w:val="24"/>
          <w:szCs w:val="24"/>
        </w:rPr>
      </w:pPr>
      <w:r>
        <w:rPr>
          <w:rFonts w:ascii="Times New Roman" w:hAnsi="Times New Roman" w:cs="Times New Roman"/>
          <w:sz w:val="24"/>
          <w:szCs w:val="24"/>
        </w:rPr>
        <w:t xml:space="preserve">       Pravne osobe i obrtnici koji su obveznici plaćanja komunalne naknade, godišnji iznos komunalne naknade plaćaju u dvanaest jednakih obroka, s time da svaki obrok dospijeva na naplatu 20-og u mjesecu za protekli mjesec.   </w:t>
      </w:r>
    </w:p>
    <w:p w:rsidR="00CC760A" w:rsidRPr="00163908" w:rsidRDefault="00163908" w:rsidP="0067208B">
      <w:pPr>
        <w:pStyle w:val="Bezproreda1"/>
        <w:ind w:left="360"/>
        <w:jc w:val="center"/>
        <w:rPr>
          <w:rFonts w:ascii="Times New Roman" w:hAnsi="Times New Roman" w:cs="Times New Roman"/>
          <w:b/>
          <w:sz w:val="24"/>
          <w:szCs w:val="24"/>
        </w:rPr>
      </w:pPr>
      <w:r>
        <w:rPr>
          <w:rFonts w:ascii="Times New Roman" w:hAnsi="Times New Roman" w:cs="Times New Roman"/>
          <w:b/>
          <w:sz w:val="24"/>
          <w:szCs w:val="24"/>
        </w:rPr>
        <w:lastRenderedPageBreak/>
        <w:t>Članak 5.</w:t>
      </w:r>
    </w:p>
    <w:p w:rsidR="00CC760A" w:rsidRDefault="00CC760A" w:rsidP="0067208B">
      <w:pPr>
        <w:pStyle w:val="Bezproreda1"/>
        <w:ind w:left="360"/>
        <w:jc w:val="center"/>
        <w:rPr>
          <w:rFonts w:ascii="Times New Roman" w:hAnsi="Times New Roman" w:cs="Times New Roman"/>
          <w:b/>
          <w:sz w:val="24"/>
          <w:szCs w:val="24"/>
        </w:rPr>
      </w:pPr>
    </w:p>
    <w:p w:rsidR="00CC760A" w:rsidRDefault="00CC760A" w:rsidP="00CC760A">
      <w:pPr>
        <w:pStyle w:val="Bezproreda1"/>
        <w:ind w:left="360"/>
        <w:jc w:val="both"/>
        <w:rPr>
          <w:rFonts w:ascii="Times New Roman" w:hAnsi="Times New Roman" w:cs="Times New Roman"/>
          <w:sz w:val="24"/>
          <w:szCs w:val="24"/>
        </w:rPr>
      </w:pPr>
      <w:r>
        <w:rPr>
          <w:rFonts w:ascii="Times New Roman" w:hAnsi="Times New Roman" w:cs="Times New Roman"/>
          <w:sz w:val="24"/>
          <w:szCs w:val="24"/>
        </w:rPr>
        <w:t>Ostale odredbe ostaju neizmijenjene.</w:t>
      </w:r>
    </w:p>
    <w:p w:rsidR="00CC760A" w:rsidRDefault="00CC760A" w:rsidP="00CC760A">
      <w:pPr>
        <w:pStyle w:val="Bezproreda1"/>
        <w:ind w:left="360"/>
        <w:jc w:val="both"/>
        <w:rPr>
          <w:rFonts w:ascii="Times New Roman" w:hAnsi="Times New Roman" w:cs="Times New Roman"/>
          <w:b/>
          <w:sz w:val="24"/>
          <w:szCs w:val="24"/>
        </w:rPr>
      </w:pPr>
    </w:p>
    <w:p w:rsidR="00163908" w:rsidRDefault="00163908" w:rsidP="00163908">
      <w:pPr>
        <w:pStyle w:val="Bezproreda1"/>
        <w:ind w:left="360"/>
        <w:jc w:val="center"/>
        <w:rPr>
          <w:rFonts w:ascii="Times New Roman" w:hAnsi="Times New Roman" w:cs="Times New Roman"/>
          <w:b/>
          <w:sz w:val="24"/>
          <w:szCs w:val="24"/>
        </w:rPr>
      </w:pPr>
      <w:r>
        <w:rPr>
          <w:rFonts w:ascii="Times New Roman" w:hAnsi="Times New Roman" w:cs="Times New Roman"/>
          <w:b/>
          <w:sz w:val="24"/>
          <w:szCs w:val="24"/>
        </w:rPr>
        <w:t>Članak 6.</w:t>
      </w:r>
    </w:p>
    <w:p w:rsidR="00163908" w:rsidRDefault="00163908" w:rsidP="00163908">
      <w:pPr>
        <w:pStyle w:val="Bezproreda1"/>
        <w:ind w:left="360"/>
        <w:jc w:val="center"/>
        <w:rPr>
          <w:rFonts w:ascii="Times New Roman" w:hAnsi="Times New Roman" w:cs="Times New Roman"/>
          <w:b/>
          <w:sz w:val="24"/>
          <w:szCs w:val="24"/>
        </w:rPr>
      </w:pPr>
    </w:p>
    <w:p w:rsidR="0067208B" w:rsidRDefault="0067208B" w:rsidP="00163908">
      <w:pPr>
        <w:pStyle w:val="Bezproreda1"/>
        <w:ind w:left="360"/>
        <w:jc w:val="both"/>
        <w:rPr>
          <w:rFonts w:ascii="Times New Roman" w:hAnsi="Times New Roman" w:cs="Times New Roman"/>
          <w:bCs/>
          <w:sz w:val="24"/>
          <w:szCs w:val="24"/>
        </w:rPr>
      </w:pPr>
      <w:r>
        <w:rPr>
          <w:rFonts w:ascii="Times New Roman" w:hAnsi="Times New Roman" w:cs="Times New Roman"/>
          <w:sz w:val="24"/>
          <w:szCs w:val="24"/>
        </w:rPr>
        <w:t xml:space="preserve">     Ova Odluka stupa na snagu osmog dana od dana objave u „Službenom glasniku Grada Paga“.</w:t>
      </w:r>
    </w:p>
    <w:p w:rsidR="0067208B" w:rsidRDefault="0067208B" w:rsidP="0067208B">
      <w:pPr>
        <w:pStyle w:val="Bezproreda1"/>
        <w:rPr>
          <w:rFonts w:ascii="Times New Roman" w:hAnsi="Times New Roman" w:cs="Times New Roman"/>
          <w:sz w:val="24"/>
          <w:szCs w:val="24"/>
        </w:rPr>
      </w:pPr>
    </w:p>
    <w:p w:rsidR="0067208B" w:rsidRDefault="0067208B" w:rsidP="0067208B">
      <w:pPr>
        <w:pStyle w:val="Bezproreda1"/>
        <w:ind w:left="360"/>
        <w:rPr>
          <w:rFonts w:ascii="Times New Roman" w:hAnsi="Times New Roman" w:cs="Times New Roman"/>
          <w:sz w:val="24"/>
          <w:szCs w:val="24"/>
        </w:rPr>
      </w:pPr>
    </w:p>
    <w:p w:rsidR="0067208B" w:rsidRDefault="003477EF" w:rsidP="0067208B">
      <w:pPr>
        <w:pStyle w:val="Bezproreda1"/>
        <w:ind w:left="360"/>
        <w:rPr>
          <w:rFonts w:ascii="Times New Roman" w:hAnsi="Times New Roman" w:cs="Times New Roman"/>
          <w:sz w:val="24"/>
          <w:szCs w:val="24"/>
        </w:rPr>
      </w:pPr>
      <w:r>
        <w:rPr>
          <w:rFonts w:ascii="Times New Roman" w:hAnsi="Times New Roman" w:cs="Times New Roman"/>
          <w:sz w:val="24"/>
          <w:szCs w:val="24"/>
        </w:rPr>
        <w:t>KLASA</w:t>
      </w:r>
      <w:r w:rsidR="0067208B">
        <w:rPr>
          <w:rFonts w:ascii="Times New Roman" w:hAnsi="Times New Roman" w:cs="Times New Roman"/>
          <w:sz w:val="24"/>
          <w:szCs w:val="24"/>
        </w:rPr>
        <w:t xml:space="preserve">: </w:t>
      </w:r>
      <w:r w:rsidR="00163908">
        <w:rPr>
          <w:rFonts w:ascii="Times New Roman" w:hAnsi="Times New Roman" w:cs="Times New Roman"/>
          <w:sz w:val="24"/>
          <w:szCs w:val="24"/>
        </w:rPr>
        <w:t>363-03/21-30/1</w:t>
      </w:r>
    </w:p>
    <w:p w:rsidR="0067208B" w:rsidRDefault="003477EF" w:rsidP="0067208B">
      <w:pPr>
        <w:pStyle w:val="Bezproreda1"/>
        <w:ind w:left="360"/>
        <w:rPr>
          <w:rFonts w:ascii="Times New Roman" w:hAnsi="Times New Roman" w:cs="Times New Roman"/>
          <w:sz w:val="24"/>
          <w:szCs w:val="24"/>
        </w:rPr>
      </w:pPr>
      <w:r>
        <w:rPr>
          <w:rFonts w:ascii="Times New Roman" w:hAnsi="Times New Roman" w:cs="Times New Roman"/>
          <w:sz w:val="24"/>
          <w:szCs w:val="24"/>
        </w:rPr>
        <w:t>URBROJ</w:t>
      </w:r>
      <w:r w:rsidR="00163908">
        <w:rPr>
          <w:rFonts w:ascii="Times New Roman" w:hAnsi="Times New Roman" w:cs="Times New Roman"/>
          <w:sz w:val="24"/>
          <w:szCs w:val="24"/>
        </w:rPr>
        <w:t>: 2198/24-05/01-21-</w:t>
      </w:r>
      <w:r w:rsidR="00493176">
        <w:rPr>
          <w:rFonts w:ascii="Times New Roman" w:hAnsi="Times New Roman" w:cs="Times New Roman"/>
          <w:sz w:val="24"/>
          <w:szCs w:val="24"/>
        </w:rPr>
        <w:t>2</w:t>
      </w:r>
    </w:p>
    <w:p w:rsidR="0067208B" w:rsidRDefault="0067208B" w:rsidP="0067208B">
      <w:pPr>
        <w:pStyle w:val="Bezproreda1"/>
        <w:ind w:left="360"/>
        <w:rPr>
          <w:rFonts w:ascii="Times New Roman" w:hAnsi="Times New Roman" w:cs="Times New Roman"/>
          <w:sz w:val="24"/>
          <w:szCs w:val="24"/>
        </w:rPr>
      </w:pPr>
      <w:r>
        <w:rPr>
          <w:rFonts w:ascii="Times New Roman" w:hAnsi="Times New Roman" w:cs="Times New Roman"/>
          <w:sz w:val="24"/>
          <w:szCs w:val="24"/>
        </w:rPr>
        <w:t xml:space="preserve">Pag, </w:t>
      </w:r>
      <w:r w:rsidR="00163908">
        <w:rPr>
          <w:rFonts w:ascii="Times New Roman" w:hAnsi="Times New Roman" w:cs="Times New Roman"/>
          <w:sz w:val="24"/>
          <w:szCs w:val="24"/>
        </w:rPr>
        <w:t>29</w:t>
      </w:r>
      <w:r>
        <w:rPr>
          <w:rFonts w:ascii="Times New Roman" w:hAnsi="Times New Roman" w:cs="Times New Roman"/>
          <w:sz w:val="24"/>
          <w:szCs w:val="24"/>
        </w:rPr>
        <w:t xml:space="preserve">. </w:t>
      </w:r>
      <w:r w:rsidR="00163908">
        <w:rPr>
          <w:rFonts w:ascii="Times New Roman" w:hAnsi="Times New Roman" w:cs="Times New Roman"/>
          <w:sz w:val="24"/>
          <w:szCs w:val="24"/>
        </w:rPr>
        <w:t>studenog 2021</w:t>
      </w:r>
      <w:r>
        <w:rPr>
          <w:rFonts w:ascii="Times New Roman" w:hAnsi="Times New Roman" w:cs="Times New Roman"/>
          <w:sz w:val="24"/>
          <w:szCs w:val="24"/>
        </w:rPr>
        <w:t>.</w:t>
      </w:r>
    </w:p>
    <w:p w:rsidR="0067208B" w:rsidRDefault="0067208B" w:rsidP="0067208B">
      <w:pPr>
        <w:pStyle w:val="Bezproreda1"/>
        <w:ind w:left="360"/>
        <w:rPr>
          <w:rFonts w:ascii="Times New Roman" w:hAnsi="Times New Roman" w:cs="Times New Roman"/>
          <w:sz w:val="24"/>
          <w:szCs w:val="24"/>
        </w:rPr>
      </w:pPr>
    </w:p>
    <w:p w:rsidR="0067208B" w:rsidRDefault="0067208B" w:rsidP="00163908">
      <w:pPr>
        <w:pStyle w:val="Bezproreda1"/>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63908">
        <w:rPr>
          <w:rFonts w:ascii="Times New Roman" w:hAnsi="Times New Roman" w:cs="Times New Roman"/>
          <w:sz w:val="24"/>
          <w:szCs w:val="24"/>
        </w:rPr>
        <w:t xml:space="preserve">                  </w:t>
      </w:r>
      <w:r>
        <w:rPr>
          <w:rFonts w:ascii="Times New Roman" w:hAnsi="Times New Roman" w:cs="Times New Roman"/>
          <w:sz w:val="24"/>
          <w:szCs w:val="24"/>
        </w:rPr>
        <w:t xml:space="preserve"> </w:t>
      </w:r>
      <w:r w:rsidR="00163908">
        <w:rPr>
          <w:rFonts w:ascii="Times New Roman" w:hAnsi="Times New Roman" w:cs="Times New Roman"/>
          <w:sz w:val="24"/>
          <w:szCs w:val="24"/>
        </w:rPr>
        <w:t>Gradonačelnik</w:t>
      </w:r>
    </w:p>
    <w:p w:rsidR="0067208B" w:rsidRDefault="0067208B" w:rsidP="0067208B">
      <w:pPr>
        <w:pStyle w:val="Bezproreda1"/>
        <w:ind w:left="360"/>
        <w:rPr>
          <w:rFonts w:ascii="Times New Roman" w:hAnsi="Times New Roman" w:cs="Times New Roman"/>
          <w:sz w:val="24"/>
          <w:szCs w:val="24"/>
        </w:rPr>
      </w:pPr>
    </w:p>
    <w:p w:rsidR="0067208B" w:rsidRDefault="0067208B" w:rsidP="0067208B">
      <w:pPr>
        <w:pStyle w:val="Bezproreda1"/>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63908">
        <w:rPr>
          <w:rFonts w:ascii="Times New Roman" w:hAnsi="Times New Roman" w:cs="Times New Roman"/>
          <w:sz w:val="24"/>
          <w:szCs w:val="24"/>
        </w:rPr>
        <w:t>Ante Fabijanić</w:t>
      </w:r>
    </w:p>
    <w:p w:rsidR="0067208B" w:rsidRDefault="0067208B" w:rsidP="0067208B">
      <w:pPr>
        <w:pStyle w:val="Bezproreda1"/>
        <w:ind w:left="360"/>
        <w:rPr>
          <w:rFonts w:ascii="Times New Roman" w:hAnsi="Times New Roman" w:cs="Times New Roman"/>
          <w:sz w:val="24"/>
          <w:szCs w:val="24"/>
        </w:rPr>
      </w:pPr>
    </w:p>
    <w:p w:rsidR="0067208B" w:rsidRDefault="0067208B" w:rsidP="0067208B">
      <w:pPr>
        <w:pStyle w:val="Bezproreda1"/>
        <w:ind w:left="360"/>
        <w:rPr>
          <w:rFonts w:ascii="Times New Roman" w:hAnsi="Times New Roman" w:cs="Times New Roman"/>
          <w:sz w:val="24"/>
          <w:szCs w:val="24"/>
        </w:rPr>
      </w:pPr>
    </w:p>
    <w:p w:rsidR="0067208B" w:rsidRDefault="0067208B" w:rsidP="0067208B">
      <w:pPr>
        <w:pStyle w:val="Bezproreda1"/>
        <w:ind w:left="360"/>
        <w:rPr>
          <w:rFonts w:ascii="Times New Roman" w:hAnsi="Times New Roman" w:cs="Times New Roman"/>
          <w:sz w:val="24"/>
          <w:szCs w:val="24"/>
        </w:rPr>
      </w:pPr>
    </w:p>
    <w:p w:rsidR="0067208B" w:rsidRDefault="0067208B" w:rsidP="0067208B">
      <w:pPr>
        <w:pStyle w:val="Bezproreda1"/>
        <w:ind w:left="360"/>
        <w:rPr>
          <w:rFonts w:ascii="Times New Roman" w:hAnsi="Times New Roman" w:cs="Times New Roman"/>
          <w:sz w:val="24"/>
          <w:szCs w:val="24"/>
        </w:rPr>
      </w:pPr>
    </w:p>
    <w:p w:rsidR="0067208B" w:rsidRDefault="0067208B" w:rsidP="0067208B">
      <w:pPr>
        <w:jc w:val="both"/>
        <w:rPr>
          <w:rFonts w:eastAsia="Times New Roman"/>
          <w:sz w:val="24"/>
          <w:szCs w:val="24"/>
          <w:lang w:val="hr-HR"/>
        </w:rPr>
      </w:pPr>
    </w:p>
    <w:p w:rsidR="0067208B" w:rsidRDefault="0067208B" w:rsidP="0067208B">
      <w:pPr>
        <w:jc w:val="both"/>
        <w:rPr>
          <w:sz w:val="24"/>
          <w:szCs w:val="24"/>
        </w:rPr>
      </w:pPr>
    </w:p>
    <w:p w:rsidR="00682248" w:rsidRDefault="00682248"/>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493176" w:rsidRDefault="00493176"/>
    <w:p w:rsidR="00002913" w:rsidRDefault="00493176" w:rsidP="00002913">
      <w:pPr>
        <w:jc w:val="center"/>
        <w:rPr>
          <w:sz w:val="24"/>
          <w:szCs w:val="24"/>
        </w:rPr>
      </w:pPr>
      <w:r>
        <w:rPr>
          <w:sz w:val="24"/>
          <w:szCs w:val="24"/>
        </w:rPr>
        <w:lastRenderedPageBreak/>
        <w:t>OBRAZLOŽENJE</w:t>
      </w:r>
    </w:p>
    <w:p w:rsidR="00002913" w:rsidRDefault="00002913" w:rsidP="00002913">
      <w:pPr>
        <w:jc w:val="center"/>
        <w:rPr>
          <w:sz w:val="24"/>
          <w:szCs w:val="24"/>
        </w:rPr>
      </w:pPr>
    </w:p>
    <w:p w:rsidR="00493176" w:rsidRPr="00493176" w:rsidRDefault="00002913" w:rsidP="00002913">
      <w:pPr>
        <w:jc w:val="both"/>
        <w:rPr>
          <w:sz w:val="24"/>
          <w:szCs w:val="24"/>
        </w:rPr>
      </w:pPr>
      <w:r>
        <w:rPr>
          <w:color w:val="000000"/>
          <w:sz w:val="24"/>
          <w:szCs w:val="24"/>
          <w:lang w:val="hr-HR" w:eastAsia="hr-HR"/>
        </w:rPr>
        <w:tab/>
      </w:r>
      <w:r w:rsidR="00493176" w:rsidRPr="00493176">
        <w:rPr>
          <w:color w:val="000000"/>
          <w:sz w:val="24"/>
          <w:szCs w:val="24"/>
          <w:lang w:val="hr-HR" w:eastAsia="hr-HR"/>
        </w:rPr>
        <w:t xml:space="preserve">Trenutno je na snazi Odluka o komunalnoj naknadi </w:t>
      </w:r>
      <w:r w:rsidR="00493176" w:rsidRPr="00493176">
        <w:rPr>
          <w:sz w:val="24"/>
          <w:szCs w:val="24"/>
        </w:rPr>
        <w:t xml:space="preserve">(„Službeni glasnik Grada Paga“ broj 1/19 i 13/19). </w:t>
      </w:r>
    </w:p>
    <w:p w:rsidR="00493176" w:rsidRPr="00493176" w:rsidRDefault="00002913" w:rsidP="00002913">
      <w:pPr>
        <w:pStyle w:val="StandardWeb"/>
        <w:jc w:val="both"/>
        <w:rPr>
          <w:color w:val="414145"/>
          <w:lang w:val="hr-HR" w:eastAsia="en-GB"/>
        </w:rPr>
      </w:pPr>
      <w:r>
        <w:rPr>
          <w:color w:val="000000"/>
          <w:lang w:val="hr-HR" w:eastAsia="hr-HR"/>
        </w:rPr>
        <w:tab/>
      </w:r>
      <w:r w:rsidR="00493176" w:rsidRPr="00493176">
        <w:rPr>
          <w:lang w:val="hr-HR" w:eastAsia="en-GB"/>
        </w:rPr>
        <w:t>U narednom razdoblju planira se povećanje obima poslova  održavanja i gradnje komunalne infrastrukture (</w:t>
      </w:r>
      <w:r w:rsidR="00493176" w:rsidRPr="00493176">
        <w:rPr>
          <w:color w:val="414145"/>
          <w:lang w:val="hr-HR" w:eastAsia="en-GB"/>
        </w:rPr>
        <w:t xml:space="preserve">nerazvrstanih cesta, javnih prometnih površina na kojima nije dopušten promet motornih vozila, javnih parkirališta, javnih zelenih površina, građevina i uređaja javne namjene, javne rasvjete i groblja), </w:t>
      </w:r>
      <w:r w:rsidR="00493176" w:rsidRPr="00493176">
        <w:rPr>
          <w:lang w:val="hr-HR" w:eastAsia="en-GB"/>
        </w:rPr>
        <w:t xml:space="preserve">koji se financiraju iz sredstava komunalne naknade, a također je već neko vrijeme prisutan trend povećanja cijena građevinskog materijala, radova i energenata. Na troškove održavanja komunalne infrastrukture osobito će se reflektirati aktualno povećanje cijene goriva i najavljeno povećanje cijene električne energije početkom 2022. godine. </w:t>
      </w:r>
    </w:p>
    <w:p w:rsidR="00002913" w:rsidRDefault="00493176" w:rsidP="00002913">
      <w:pPr>
        <w:widowControl/>
        <w:overflowPunct/>
        <w:autoSpaceDE/>
        <w:autoSpaceDN/>
        <w:adjustRightInd/>
        <w:jc w:val="both"/>
        <w:rPr>
          <w:rFonts w:eastAsia="Times New Roman"/>
          <w:sz w:val="24"/>
          <w:szCs w:val="24"/>
          <w:lang w:val="hr-HR" w:eastAsia="hr-HR"/>
        </w:rPr>
      </w:pPr>
      <w:r w:rsidRPr="00493176">
        <w:rPr>
          <w:rFonts w:eastAsia="Times New Roman"/>
          <w:sz w:val="24"/>
          <w:szCs w:val="24"/>
          <w:lang w:val="hr-HR" w:eastAsia="hr-HR"/>
        </w:rPr>
        <w:tab/>
        <w:t xml:space="preserve">Slijedom navedenog, a uvažavajući načela učinkovitosti, kakvoće i kontinuiteta u obavljanju komunalnih djelatnosti te načela zaštite korisnika i prostora, predlaže se </w:t>
      </w:r>
      <w:r w:rsidR="007026AA">
        <w:rPr>
          <w:rFonts w:eastAsia="Times New Roman"/>
          <w:sz w:val="24"/>
          <w:szCs w:val="24"/>
          <w:lang w:val="hr-HR" w:eastAsia="hr-HR"/>
        </w:rPr>
        <w:t>izmjena članaka 11. i 12. Odluke o komunalnoj naknadi</w:t>
      </w:r>
      <w:r w:rsidRPr="00493176">
        <w:rPr>
          <w:rFonts w:eastAsia="Times New Roman"/>
          <w:sz w:val="24"/>
          <w:szCs w:val="24"/>
          <w:lang w:val="hr-HR" w:eastAsia="hr-HR"/>
        </w:rPr>
        <w:t>.</w:t>
      </w:r>
    </w:p>
    <w:p w:rsidR="00002913" w:rsidRDefault="00002913" w:rsidP="00002913">
      <w:pPr>
        <w:widowControl/>
        <w:overflowPunct/>
        <w:autoSpaceDE/>
        <w:autoSpaceDN/>
        <w:adjustRightInd/>
        <w:jc w:val="both"/>
        <w:rPr>
          <w:sz w:val="24"/>
          <w:szCs w:val="24"/>
          <w:lang w:val="hr-HR"/>
        </w:rPr>
      </w:pPr>
      <w:r>
        <w:rPr>
          <w:rFonts w:eastAsia="Times New Roman"/>
          <w:sz w:val="24"/>
          <w:szCs w:val="24"/>
          <w:lang w:val="hr-HR" w:eastAsia="hr-HR"/>
        </w:rPr>
        <w:tab/>
      </w:r>
      <w:r w:rsidRPr="00002913">
        <w:rPr>
          <w:color w:val="000000"/>
          <w:sz w:val="24"/>
          <w:szCs w:val="24"/>
          <w:lang w:val="hr-HR" w:eastAsia="hr-HR"/>
        </w:rPr>
        <w:t>Nadalje,</w:t>
      </w:r>
      <w:r w:rsidR="00493176" w:rsidRPr="00002913">
        <w:rPr>
          <w:color w:val="000000"/>
          <w:sz w:val="24"/>
          <w:szCs w:val="24"/>
          <w:lang w:val="hr-HR" w:eastAsia="hr-HR"/>
        </w:rPr>
        <w:t xml:space="preserve"> obveznik komunalne naknade koji u zakonskom roku od 15 dana od dana nastanka obveze plaćanja komunalne naknade, promjene obveznika ili promjene obračunske površine ili namjene nekretnine, ne prijavi nastanak ili promjenu svoje obveze, dužan je platiti komunalnu naknadu od dana nastanka obveze (članak 94. stavaka 4. Zakona). </w:t>
      </w:r>
      <w:r w:rsidRPr="00002913">
        <w:rPr>
          <w:color w:val="000000"/>
          <w:sz w:val="24"/>
          <w:szCs w:val="24"/>
          <w:lang w:val="hr-HR" w:eastAsia="hr-HR"/>
        </w:rPr>
        <w:t xml:space="preserve">Ovom Odlukom predlaže se utvrditi dospijeće plaćanja </w:t>
      </w:r>
      <w:r w:rsidRPr="00002913">
        <w:rPr>
          <w:sz w:val="24"/>
          <w:szCs w:val="24"/>
          <w:lang w:val="hr-HR"/>
        </w:rPr>
        <w:t>ukoliko se rješenje o komunalnoj naknadi donosi temeljem članka 94. stavka 4. Zakona o komunalnoj naknadi, tako da iznos komunalne naknade utvrđen od dana nastanka obveze do dana donošenja rješenja, dospijeva na naplatu u roku od 15 dana, računajući od dana kada je obvezniku dostavljeno rješenje.</w:t>
      </w:r>
    </w:p>
    <w:p w:rsidR="00002913" w:rsidRPr="00002913" w:rsidRDefault="00002913" w:rsidP="00002913">
      <w:pPr>
        <w:widowControl/>
        <w:overflowPunct/>
        <w:autoSpaceDE/>
        <w:autoSpaceDN/>
        <w:adjustRightInd/>
        <w:jc w:val="both"/>
        <w:rPr>
          <w:rFonts w:eastAsia="Times New Roman"/>
          <w:b/>
          <w:sz w:val="24"/>
          <w:szCs w:val="24"/>
          <w:lang w:val="hr-HR" w:eastAsia="hr-HR"/>
        </w:rPr>
      </w:pPr>
      <w:r>
        <w:rPr>
          <w:sz w:val="24"/>
          <w:szCs w:val="24"/>
          <w:lang w:val="hr-HR"/>
        </w:rPr>
        <w:tab/>
        <w:t>Slijedom navedenog predlaže se donošenje ove Odluke.</w:t>
      </w:r>
    </w:p>
    <w:p w:rsidR="00493176" w:rsidRDefault="00493176" w:rsidP="00493176">
      <w:pPr>
        <w:widowControl/>
        <w:tabs>
          <w:tab w:val="left" w:pos="2325"/>
        </w:tabs>
        <w:overflowPunct/>
        <w:autoSpaceDE/>
        <w:adjustRightInd/>
        <w:jc w:val="both"/>
        <w:rPr>
          <w:color w:val="000000"/>
          <w:sz w:val="24"/>
          <w:szCs w:val="24"/>
          <w:lang w:val="hr-HR" w:eastAsia="hr-HR"/>
        </w:rPr>
      </w:pPr>
    </w:p>
    <w:p w:rsidR="00493176" w:rsidRDefault="00493176" w:rsidP="00493176">
      <w:pPr>
        <w:widowControl/>
        <w:tabs>
          <w:tab w:val="left" w:pos="2325"/>
        </w:tabs>
        <w:overflowPunct/>
        <w:autoSpaceDE/>
        <w:adjustRightInd/>
        <w:jc w:val="both"/>
        <w:rPr>
          <w:color w:val="000000"/>
          <w:sz w:val="24"/>
          <w:szCs w:val="24"/>
          <w:lang w:val="hr-HR" w:eastAsia="hr-HR"/>
        </w:rPr>
      </w:pPr>
    </w:p>
    <w:p w:rsidR="00493176" w:rsidRPr="00493176" w:rsidRDefault="00493176" w:rsidP="00493176">
      <w:pPr>
        <w:jc w:val="both"/>
        <w:rPr>
          <w:sz w:val="24"/>
          <w:szCs w:val="24"/>
        </w:rPr>
      </w:pPr>
    </w:p>
    <w:sectPr w:rsidR="00493176" w:rsidRPr="004931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altName w:val="Tahoma"/>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8B"/>
    <w:rsid w:val="00002913"/>
    <w:rsid w:val="00163908"/>
    <w:rsid w:val="001A6925"/>
    <w:rsid w:val="003477EF"/>
    <w:rsid w:val="00493176"/>
    <w:rsid w:val="005B3DA9"/>
    <w:rsid w:val="0067208B"/>
    <w:rsid w:val="00682248"/>
    <w:rsid w:val="0069179F"/>
    <w:rsid w:val="007026AA"/>
    <w:rsid w:val="007548E9"/>
    <w:rsid w:val="00974834"/>
    <w:rsid w:val="00C2276C"/>
    <w:rsid w:val="00CC7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24BC8-BA38-4FE3-B76A-91F05B63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08B"/>
    <w:pPr>
      <w:widowControl w:val="0"/>
      <w:overflowPunct w:val="0"/>
      <w:autoSpaceDE w:val="0"/>
      <w:autoSpaceDN w:val="0"/>
      <w:adjustRightInd w:val="0"/>
    </w:pPr>
    <w:rPr>
      <w:rFonts w:eastAsia="Calibri"/>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rsid w:val="0067208B"/>
    <w:rPr>
      <w:rFonts w:ascii="Calibri" w:hAnsi="Calibri" w:cs="Calibri"/>
      <w:sz w:val="22"/>
      <w:szCs w:val="22"/>
      <w:lang w:val="hr-HR" w:eastAsia="en-US"/>
    </w:rPr>
  </w:style>
  <w:style w:type="paragraph" w:customStyle="1" w:styleId="Bezproreda2">
    <w:name w:val="Bez proreda2"/>
    <w:rsid w:val="00493176"/>
    <w:rPr>
      <w:rFonts w:ascii="Calibri" w:hAnsi="Calibri" w:cs="Calibri"/>
      <w:sz w:val="22"/>
      <w:szCs w:val="22"/>
      <w:lang w:val="hr-HR" w:eastAsia="en-US"/>
    </w:rPr>
  </w:style>
  <w:style w:type="paragraph" w:styleId="StandardWeb">
    <w:name w:val="Normal (Web)"/>
    <w:basedOn w:val="Normal"/>
    <w:rsid w:val="004931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2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5751</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Sanja</cp:lastModifiedBy>
  <cp:revision>2</cp:revision>
  <dcterms:created xsi:type="dcterms:W3CDTF">2021-11-30T10:10:00Z</dcterms:created>
  <dcterms:modified xsi:type="dcterms:W3CDTF">2021-11-30T10:10:00Z</dcterms:modified>
</cp:coreProperties>
</file>